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B" w:rsidRDefault="00CD41AB" w:rsidP="00CD41A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41AB" w:rsidRPr="00E6506D" w:rsidRDefault="00CD41AB" w:rsidP="00CD41AB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6506D">
        <w:rPr>
          <w:rFonts w:ascii="Times New Roman" w:hAnsi="Times New Roman"/>
          <w:b/>
          <w:sz w:val="24"/>
          <w:szCs w:val="24"/>
          <w:shd w:val="clear" w:color="auto" w:fill="FFFFFF"/>
        </w:rPr>
        <w:t>(Ф 21.01 - 02)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7160"/>
      </w:tblGrid>
      <w:tr w:rsidR="00CD41AB" w:rsidTr="00753790">
        <w:trPr>
          <w:trHeight w:val="2131"/>
        </w:trPr>
        <w:tc>
          <w:tcPr>
            <w:tcW w:w="3261" w:type="dxa"/>
            <w:tcBorders>
              <w:top w:val="nil"/>
              <w:left w:val="nil"/>
            </w:tcBorders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0" t="0" r="8890" b="5080"/>
                  <wp:wrapTight wrapText="bothSides">
                    <wp:wrapPolygon edited="0">
                      <wp:start x="0" y="0"/>
                      <wp:lineTo x="0" y="21391"/>
                      <wp:lineTo x="21460" y="21391"/>
                      <wp:lineTo x="21460" y="0"/>
                      <wp:lineTo x="0" y="0"/>
                    </wp:wrapPolygon>
                  </wp:wrapTight>
                  <wp:docPr id="4" name="Рисунок 4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0" w:type="dxa"/>
            <w:shd w:val="clear" w:color="auto" w:fill="FFFFFF"/>
            <w:vAlign w:val="center"/>
          </w:tcPr>
          <w:p w:rsidR="00CD41AB" w:rsidRDefault="00CD41AB" w:rsidP="00753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Силабус навчальної дисципліни</w:t>
            </w:r>
          </w:p>
          <w:p w:rsidR="00E6506D" w:rsidRPr="00445623" w:rsidRDefault="00E6506D" w:rsidP="00753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6506D" w:rsidRDefault="00CD41AB" w:rsidP="00753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ПІДТРИМАННЯМ ЛЬОТНОЇ ПРИДАТНІСТІ </w:t>
            </w:r>
          </w:p>
          <w:p w:rsidR="00CD41AB" w:rsidRPr="00445623" w:rsidRDefault="00CD41AB" w:rsidP="00753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ПОВІТРЯНИХ СУДЕН</w:t>
            </w: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CD41AB" w:rsidRPr="00445623" w:rsidRDefault="00CD41AB" w:rsidP="00753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CD41AB" w:rsidRPr="00347927" w:rsidRDefault="00CD41AB" w:rsidP="0075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Спеціальність: </w:t>
            </w:r>
            <w:r w:rsidRPr="00347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173 «Авіоніка»</w:t>
            </w:r>
          </w:p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Галузь знань: </w:t>
            </w:r>
            <w:r w:rsidRPr="00347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Електроніка і телекомунікації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Рівень вищої освіти</w:t>
            </w:r>
          </w:p>
        </w:tc>
        <w:tc>
          <w:tcPr>
            <w:tcW w:w="7160" w:type="dxa"/>
          </w:tcPr>
          <w:p w:rsidR="00CD41AB" w:rsidRPr="00F63C81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Другий (</w:t>
            </w:r>
            <w:r w:rsidR="00A32C58" w:rsidRPr="00E205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</w:t>
            </w:r>
            <w:r w:rsidR="00A32C58" w:rsidRPr="00E205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гістерський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</w:tcPr>
          <w:p w:rsidR="00CD41AB" w:rsidRPr="00445623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Навчальна дисципліна вибіркового компонента із фахового переліку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7160" w:type="dxa"/>
          </w:tcPr>
          <w:p w:rsidR="00CD41AB" w:rsidRPr="00F63C81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(п</w:t>
            </w:r>
            <w:r w:rsidRPr="00F63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рший)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Семестр</w:t>
            </w:r>
          </w:p>
        </w:tc>
        <w:tc>
          <w:tcPr>
            <w:tcW w:w="7160" w:type="dxa"/>
          </w:tcPr>
          <w:p w:rsidR="00CD41AB" w:rsidRPr="00F63C81" w:rsidRDefault="00E6506D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(п</w:t>
            </w:r>
            <w:r w:rsidRPr="00F63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рший)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Обсяг дисципліни, </w:t>
            </w:r>
          </w:p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кредити ЄКТС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години</w:t>
            </w:r>
          </w:p>
        </w:tc>
        <w:tc>
          <w:tcPr>
            <w:tcW w:w="7160" w:type="dxa"/>
          </w:tcPr>
          <w:p w:rsidR="00CD41AB" w:rsidRPr="00F63C81" w:rsidRDefault="00D67988" w:rsidP="00F97B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E205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4,0 кредити/120 годин</w:t>
            </w:r>
            <w:bookmarkStart w:id="0" w:name="_GoBack"/>
            <w:bookmarkEnd w:id="0"/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6CB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</w:tcPr>
          <w:p w:rsidR="00CD41AB" w:rsidRPr="00F63C81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Українська, англійська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Що буде вивчатися (предмет вивчення)</w:t>
            </w:r>
          </w:p>
        </w:tc>
        <w:tc>
          <w:tcPr>
            <w:tcW w:w="7160" w:type="dxa"/>
          </w:tcPr>
          <w:p w:rsidR="00CD41AB" w:rsidRPr="00F63C81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Студенти вивчають процеси управління льотною придатністю літаків, готуючи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сь </w:t>
            </w:r>
            <w:r w:rsidRPr="00F63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 вивчення наступних спеціальних дисциплін та до подальшої професійної діяльності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Чому це цікаво/треба вивчати (мета)</w:t>
            </w:r>
          </w:p>
        </w:tc>
        <w:tc>
          <w:tcPr>
            <w:tcW w:w="7160" w:type="dxa"/>
          </w:tcPr>
          <w:p w:rsidR="00CD41AB" w:rsidRPr="00F63C81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Метою викладання дисципліни «Управління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підтриманням льотної придатності повітряних суден</w:t>
            </w:r>
            <w:r w:rsidRPr="00F63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є ознайомлення студентів із сучасними процедурами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вивчення вимог </w:t>
            </w:r>
            <w:r w:rsidRPr="00F63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документ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ів</w:t>
            </w:r>
            <w:r w:rsidRPr="00F63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управління льотною придатністю ПС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160" w:type="dxa"/>
          </w:tcPr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Результатом вивчення дисципліни є засвоєння студентами наступних знань та навичок: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знання нормативного забезпечення процесів управління льотною придатністю повітряних суден;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знання функцій та структури організації управління льотною придатністю ПС;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знання основних нормативних актів щодо управління льотною придатністю повітряних суден;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знання про розподіл обов'язків щодо підтримки льотної придатності повітряних суден;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знання системи документування даних щодо управління технічним обслуговуванням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та </w:t>
            </w: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льотної придатності повітряних суден;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вимоги до діяльності організації з управління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льотною</w:t>
            </w: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придатн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повітряних суден;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знання вимог до програми технічного обслуговування ПС;</w:t>
            </w:r>
          </w:p>
          <w:p w:rsidR="00CD41AB" w:rsidRPr="00F63C81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знання про розробку, затвердження та впровадження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 технічного обслуговування ПС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</w:tcPr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Знань та навичок, набутих під час вивчення дисципліни, достатньо для успішного: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проведення робіт зі стандарт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та </w:t>
            </w: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документами з управління льотною придатністю повітряних суден;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дотримання процедур видачі свідоцтва льотної придатності, свідоцтва про введення в експлуатацію та свідоцтва про перевірку льотної придатності;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розробка, затвердження та впровадження програми технічного обслуговування повітряних суден;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ведення системи документування даних щодо управління безперервн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істю </w:t>
            </w: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льотно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ї</w:t>
            </w: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придатн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літаків;</w:t>
            </w:r>
          </w:p>
          <w:p w:rsidR="00CD41AB" w:rsidRPr="00F63C81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використання набутих знань з дисципліни у подальшій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професійній діяльності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Навчальна логістика</w:t>
            </w:r>
          </w:p>
        </w:tc>
        <w:tc>
          <w:tcPr>
            <w:tcW w:w="7160" w:type="dxa"/>
          </w:tcPr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Зміст дисципліни:</w:t>
            </w:r>
            <w:r>
              <w:t xml:space="preserve"> </w:t>
            </w:r>
            <w:r w:rsidRPr="005967E7">
              <w:rPr>
                <w:rFonts w:ascii="Times New Roman" w:hAnsi="Times New Roman"/>
                <w:sz w:val="24"/>
                <w:szCs w:val="24"/>
              </w:rPr>
              <w:t>Завдання управління льотною придатністю. Технічні вимоги та зага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льні положення щодо управління льотною </w:t>
            </w:r>
            <w:r w:rsidRPr="005967E7">
              <w:rPr>
                <w:rFonts w:ascii="Times New Roman" w:hAnsi="Times New Roman"/>
                <w:sz w:val="24"/>
                <w:szCs w:val="24"/>
              </w:rPr>
              <w:t>придатн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5967E7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5967E7">
              <w:rPr>
                <w:rFonts w:ascii="Times New Roman" w:hAnsi="Times New Roman"/>
                <w:sz w:val="24"/>
                <w:szCs w:val="24"/>
              </w:rPr>
              <w:t>повітряних суден. Підтримання льотної придатності. Стандарти технічного обслуговування. Дані для технічного обслуговування. Виконання технічного обслуговування. Дефекти літака. Система класів та рейтингів затвердження організацій з технічного обслуговування. Договірний ТО. Складне обслуговування. Компоненти PS. Документація розробника / виробника літаків. Організація управління льотної придатності. Введення в експлуатацію та перевірка льотної придатності літака. Програму обслуговування літаків. Розширені правила польотів для двомоторних літаків, вимоги до технічного обслуговування та контролю.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Види занять: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67E7">
              <w:rPr>
                <w:rFonts w:ascii="Times New Roman" w:hAnsi="Times New Roman"/>
                <w:sz w:val="24"/>
                <w:szCs w:val="24"/>
              </w:rPr>
              <w:t>лекції та практичні заняття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Методи навчання:</w:t>
            </w:r>
            <w:r>
              <w:t xml:space="preserve"> </w:t>
            </w:r>
            <w:r w:rsidRPr="005967E7">
              <w:rPr>
                <w:rFonts w:ascii="Times New Roman" w:hAnsi="Times New Roman"/>
                <w:sz w:val="24"/>
                <w:szCs w:val="24"/>
              </w:rPr>
              <w:t>Під час вивчення дисципліни лекції проводяться з використанням мультимедійного обладнання, а матеріал практичних занять вивчається в комп’ютерному класі.</w:t>
            </w:r>
          </w:p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Форми навчання:</w:t>
            </w:r>
            <w:r>
              <w:t xml:space="preserve"> </w:t>
            </w:r>
            <w:r w:rsidRPr="005967E7">
              <w:rPr>
                <w:rFonts w:ascii="Times New Roman" w:hAnsi="Times New Roman"/>
                <w:sz w:val="24"/>
                <w:szCs w:val="24"/>
              </w:rPr>
              <w:t>денна, заочна, дистанційна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D86CBA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6CB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Пререквізити</w:t>
            </w:r>
          </w:p>
        </w:tc>
        <w:tc>
          <w:tcPr>
            <w:tcW w:w="7160" w:type="dxa"/>
          </w:tcPr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Базові знання систем авіоніки, пілотажно-навігаційного обладнання та бортов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их систем управління польотом та технічного </w:t>
            </w: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обслуговування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авіоніки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D86CBA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CB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Пореквізити</w:t>
            </w:r>
          </w:p>
        </w:tc>
        <w:tc>
          <w:tcPr>
            <w:tcW w:w="7160" w:type="dxa"/>
          </w:tcPr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7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Знання та вміння, набуті студентом під час вивчення цієї дисципліни, використовуються при вивченні дисциплін «Сертифікація авіаційної техніки», «Міжнародне та державне регулювання у цивільній авіації» під час стажування та при розробці дипломів, а також у практич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ній діяльності за спеціальністю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Інформаційне забезпечення</w:t>
            </w:r>
          </w:p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з репозитарію та фонду НТБ НАУ</w:t>
            </w:r>
          </w:p>
        </w:tc>
        <w:tc>
          <w:tcPr>
            <w:tcW w:w="7160" w:type="dxa"/>
            <w:shd w:val="clear" w:color="auto" w:fill="auto"/>
          </w:tcPr>
          <w:p w:rsidR="00CD41AB" w:rsidRPr="00E6506D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7C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>NAU</w:t>
            </w:r>
            <w:r w:rsidRPr="00E6506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7C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>library</w:t>
            </w:r>
            <w:r w:rsidRPr="00E6506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D41AB" w:rsidRPr="00E6506D" w:rsidRDefault="00CD41AB" w:rsidP="00F97B07">
            <w:pPr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50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Соловйов В.І. Організація експлуатації авіаційної техн</w:t>
            </w:r>
            <w:r w:rsidR="00A32C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E650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 / В.І.</w:t>
            </w:r>
            <w:r w:rsidRPr="00E650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Соловков // Ки</w:t>
            </w:r>
            <w:r w:rsidR="00A32C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ї</w:t>
            </w:r>
            <w:r w:rsidRPr="00E650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в, НАОУ, 2005. - 232 с.</w:t>
            </w:r>
          </w:p>
          <w:p w:rsidR="00CD41AB" w:rsidRPr="003C7C24" w:rsidRDefault="00CD41AB" w:rsidP="00F97B07">
            <w:pPr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3C7C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2.</w:t>
            </w:r>
            <w:r w:rsidRPr="003C7C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ab/>
              <w:t>Kelly A., Maintenance Planning and Control, Butterworths,</w:t>
            </w:r>
            <w:r w:rsidRPr="003C7C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br/>
              <w:t>Manchester, UK, 1984.</w:t>
            </w:r>
          </w:p>
          <w:p w:rsidR="00CD41AB" w:rsidRPr="003C7C24" w:rsidRDefault="00CD41AB" w:rsidP="00F97B07">
            <w:pPr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3C7C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3.</w:t>
            </w:r>
            <w:r w:rsidRPr="003C7C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ab/>
              <w:t>Patton J.D., Preventive Maintenance, 2nd edition, ISA, North</w:t>
            </w:r>
            <w:r w:rsidRPr="003C7C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br/>
              <w:t>Carolina, USA, 1995.</w:t>
            </w:r>
          </w:p>
          <w:p w:rsidR="00CD41AB" w:rsidRPr="003C7C24" w:rsidRDefault="00CD41AB" w:rsidP="00F97B07">
            <w:pPr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3C7C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4.</w:t>
            </w:r>
            <w:r w:rsidRPr="003C7C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ab/>
              <w:t>Ben-Daya et al., Maintenance, Modelling and Optimisation, Kluwer</w:t>
            </w:r>
            <w:r w:rsidRPr="003C7C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br/>
              <w:t>Academic Publishers, Boston , USA, 2000.</w:t>
            </w:r>
          </w:p>
          <w:p w:rsidR="00CD41AB" w:rsidRPr="003C7C24" w:rsidRDefault="00CD41AB" w:rsidP="00F97B07">
            <w:pPr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3C7C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3.2.6. Наказ Міністра інфраструктури України від 10.02.2012 №</w:t>
            </w:r>
            <w:r w:rsidRPr="003C7C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br/>
              <w:t>"Про затвердження Правил з підтримання льотної придатності (Раrt-М)"</w:t>
            </w:r>
          </w:p>
          <w:p w:rsidR="00CD41AB" w:rsidRPr="003C7C24" w:rsidRDefault="00CD41AB" w:rsidP="00F97B07">
            <w:pPr>
              <w:widowControl w:val="0"/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after="0" w:line="240" w:lineRule="auto"/>
              <w:ind w:firstLine="193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3C7C2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NAU repository:</w:t>
            </w:r>
          </w:p>
          <w:p w:rsidR="00CD41AB" w:rsidRPr="003C7C24" w:rsidRDefault="0035165D" w:rsidP="00F97B07">
            <w:pPr>
              <w:widowControl w:val="0"/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after="0" w:line="240" w:lineRule="auto"/>
              <w:ind w:firstLine="19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hyperlink r:id="rId5" w:history="1">
              <w:r w:rsidR="00CD41AB" w:rsidRPr="003C7C24">
                <w:rPr>
                  <w:rStyle w:val="a3"/>
                  <w:sz w:val="24"/>
                  <w:szCs w:val="24"/>
                  <w:lang w:val="en-GB"/>
                </w:rPr>
                <w:t>https://er.nau.edu.ua/handle/NAU/36018</w:t>
              </w:r>
            </w:hyperlink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160" w:type="dxa"/>
          </w:tcPr>
          <w:p w:rsidR="00CD41AB" w:rsidRPr="005967E7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7E7">
              <w:rPr>
                <w:rFonts w:ascii="Times New Roman" w:hAnsi="Times New Roman"/>
                <w:sz w:val="24"/>
                <w:szCs w:val="24"/>
              </w:rPr>
              <w:t>Департамент локації та логістики спеціалізованого комп'ютерного класу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160" w:type="dxa"/>
          </w:tcPr>
          <w:p w:rsidR="00CD41AB" w:rsidRPr="00EA198E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19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Диференційований залік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Кафедра</w:t>
            </w:r>
          </w:p>
        </w:tc>
        <w:tc>
          <w:tcPr>
            <w:tcW w:w="7160" w:type="dxa"/>
          </w:tcPr>
          <w:p w:rsidR="00CD41AB" w:rsidRPr="004C18F9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Авіоніки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</w:tcPr>
          <w:p w:rsidR="00CD41AB" w:rsidRPr="004C18F9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ФАЕТ</w:t>
            </w:r>
          </w:p>
        </w:tc>
      </w:tr>
      <w:tr w:rsidR="00CD41AB" w:rsidTr="00753790">
        <w:trPr>
          <w:trHeight w:val="1959"/>
        </w:trPr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Викладач(і)</w:t>
            </w:r>
          </w:p>
        </w:tc>
        <w:tc>
          <w:tcPr>
            <w:tcW w:w="7160" w:type="dxa"/>
          </w:tcPr>
          <w:p w:rsidR="00CD41AB" w:rsidRPr="00445623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8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  <w:p w:rsidR="00CD41AB" w:rsidRPr="00445623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 w:rsidRPr="004C18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---------</w:t>
            </w:r>
          </w:p>
          <w:p w:rsidR="00CD41AB" w:rsidRPr="00445623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Вчений ступінь: </w:t>
            </w:r>
          </w:p>
          <w:p w:rsidR="00CD41AB" w:rsidRPr="00445623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Профайл викладача</w:t>
            </w:r>
            <w:r w:rsidRPr="004C18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 ------</w:t>
            </w:r>
          </w:p>
          <w:p w:rsidR="00CD41AB" w:rsidRPr="00445623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C18F9">
              <w:rPr>
                <w:rFonts w:ascii="Times New Roman" w:hAnsi="Times New Roman"/>
                <w:sz w:val="24"/>
                <w:szCs w:val="24"/>
              </w:rPr>
              <w:t>6-74-33</w:t>
            </w:r>
          </w:p>
          <w:p w:rsidR="00CD41AB" w:rsidRPr="004C18F9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E-mail: </w:t>
            </w:r>
            <w:r w:rsidRPr="004C18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_____</w:t>
            </w:r>
          </w:p>
          <w:p w:rsidR="00CD41AB" w:rsidRPr="004C18F9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-1022350</wp:posOffset>
                      </wp:positionV>
                      <wp:extent cx="1000125" cy="1132840"/>
                      <wp:effectExtent l="8255" t="10160" r="10795" b="9525"/>
                      <wp:wrapTight wrapText="bothSides">
                        <wp:wrapPolygon edited="0">
                          <wp:start x="-206" y="-182"/>
                          <wp:lineTo x="-206" y="21418"/>
                          <wp:lineTo x="21806" y="21418"/>
                          <wp:lineTo x="21806" y="-182"/>
                          <wp:lineTo x="-206" y="-182"/>
                        </wp:wrapPolygon>
                      </wp:wrapTight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1AB" w:rsidRDefault="00CD41AB" w:rsidP="00CD41AB">
                                  <w:pPr>
                                    <w:spacing w:after="0" w:line="257" w:lineRule="auto"/>
                                    <w:jc w:val="center"/>
                                  </w:pPr>
                                </w:p>
                                <w:p w:rsidR="00CD41AB" w:rsidRDefault="00CD41AB" w:rsidP="00CD41AB">
                                  <w:pPr>
                                    <w:spacing w:after="0" w:line="257" w:lineRule="auto"/>
                                    <w:jc w:val="center"/>
                                  </w:pPr>
                                </w:p>
                                <w:p w:rsidR="00CD41AB" w:rsidRDefault="00CD41AB" w:rsidP="00CD41AB">
                                  <w:pPr>
                                    <w:spacing w:after="0" w:line="257" w:lineRule="auto"/>
                                    <w:jc w:val="center"/>
                                  </w:pPr>
                                  <w:r>
                                    <w:t>Фото за бажанням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-3.65pt;margin-top:-80.5pt;width:78.75pt;height:89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" strokeweight=".5pt">
                      <v:textbox>
                        <w:txbxContent>
                          <w:p w:rsidR="00CD41AB" w:rsidRDefault="00CD41AB" w:rsidP="00CD41AB">
                            <w:pPr>
                              <w:spacing w:after="0" w:line="257" w:lineRule="auto"/>
                              <w:jc w:val="center"/>
                            </w:pPr>
                          </w:p>
                          <w:p w:rsidR="00CD41AB" w:rsidRDefault="00CD41AB" w:rsidP="00CD41AB">
                            <w:pPr>
                              <w:spacing w:after="0" w:line="257" w:lineRule="auto"/>
                              <w:jc w:val="center"/>
                            </w:pPr>
                          </w:p>
                          <w:p w:rsidR="00CD41AB" w:rsidRDefault="00CD41AB" w:rsidP="00CD41AB">
                            <w:pPr>
                              <w:spacing w:after="0" w:line="257" w:lineRule="auto"/>
                              <w:jc w:val="center"/>
                            </w:pPr>
                            <w:r>
                              <w:t>Фото за бажанням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Робоче місце: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5.402</w:t>
            </w:r>
          </w:p>
        </w:tc>
      </w:tr>
      <w:tr w:rsidR="00CD41AB" w:rsidTr="00753790">
        <w:tc>
          <w:tcPr>
            <w:tcW w:w="3261" w:type="dxa"/>
            <w:shd w:val="clear" w:color="auto" w:fill="FFFFFF"/>
          </w:tcPr>
          <w:p w:rsidR="00CD41AB" w:rsidRPr="00445623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160" w:type="dxa"/>
          </w:tcPr>
          <w:p w:rsidR="00CD41AB" w:rsidRPr="00D86CBA" w:rsidRDefault="00CD41AB" w:rsidP="00F9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C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Авторська розробка</w:t>
            </w:r>
          </w:p>
        </w:tc>
      </w:tr>
      <w:tr w:rsidR="00EA198E" w:rsidRPr="00EA198E" w:rsidTr="00753790">
        <w:tc>
          <w:tcPr>
            <w:tcW w:w="3261" w:type="dxa"/>
            <w:shd w:val="clear" w:color="auto" w:fill="FFFFFF"/>
          </w:tcPr>
          <w:p w:rsidR="00CD41AB" w:rsidRPr="00EA198E" w:rsidRDefault="00CD41AB" w:rsidP="0075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98E">
              <w:rPr>
                <w:rFonts w:ascii="Times New Roman" w:hAnsi="Times New Roman"/>
                <w:b/>
                <w:sz w:val="24"/>
                <w:szCs w:val="24"/>
              </w:rPr>
              <w:t>Лінк на дисципліну</w:t>
            </w:r>
          </w:p>
        </w:tc>
        <w:tc>
          <w:tcPr>
            <w:tcW w:w="7160" w:type="dxa"/>
          </w:tcPr>
          <w:p w:rsidR="00CD41AB" w:rsidRPr="00EA198E" w:rsidRDefault="0035165D" w:rsidP="0075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hyperlink r:id="rId6" w:tgtFrame="_blank" w:history="1"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https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://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classroom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google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com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c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NjYxMDY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0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NjY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4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NzBa</w:t>
              </w:r>
            </w:hyperlink>
          </w:p>
          <w:p w:rsidR="00CD41AB" w:rsidRPr="00EA198E" w:rsidRDefault="0035165D" w:rsidP="0075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hyperlink r:id="rId7" w:history="1"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https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://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er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nau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edu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ua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handle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GB"/>
                </w:rPr>
                <w:t>NAU</w:t>
              </w:r>
              <w:r w:rsidR="00CD41AB" w:rsidRPr="00EA198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/36018</w:t>
              </w:r>
            </w:hyperlink>
          </w:p>
        </w:tc>
      </w:tr>
    </w:tbl>
    <w:p w:rsidR="00CD41AB" w:rsidRDefault="00CD41AB" w:rsidP="00CD41AB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41AB" w:rsidRPr="00EA198E" w:rsidRDefault="00CD41AB" w:rsidP="00CD41A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198E">
        <w:rPr>
          <w:rFonts w:ascii="Times New Roman" w:hAnsi="Times New Roman"/>
          <w:sz w:val="24"/>
          <w:szCs w:val="24"/>
          <w:shd w:val="clear" w:color="auto" w:fill="FFFFFF"/>
        </w:rPr>
        <w:t>Розробник</w:t>
      </w:r>
      <w:r w:rsidRPr="00EA198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A198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A198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A198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A198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A198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A198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A198E">
        <w:rPr>
          <w:rFonts w:ascii="Times New Roman" w:hAnsi="Times New Roman"/>
          <w:sz w:val="24"/>
          <w:szCs w:val="24"/>
          <w:shd w:val="clear" w:color="auto" w:fill="FFFFFF"/>
        </w:rPr>
        <w:tab/>
        <w:t>ПІБ викладача</w:t>
      </w:r>
    </w:p>
    <w:p w:rsidR="00EA198E" w:rsidRDefault="00EA198E" w:rsidP="00EA198E">
      <w:pPr>
        <w:tabs>
          <w:tab w:val="left" w:pos="138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A198E" w:rsidRDefault="00EA198E" w:rsidP="00EA198E">
      <w:pPr>
        <w:tabs>
          <w:tab w:val="left" w:pos="1380"/>
        </w:tabs>
        <w:spacing w:after="0" w:line="240" w:lineRule="auto"/>
        <w:ind w:left="284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Завідувач кафедри </w:t>
      </w:r>
      <w:r w:rsidRPr="005500D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Павлова Світлана Вадимівна</w:t>
      </w:r>
    </w:p>
    <w:p w:rsidR="008C00EF" w:rsidRDefault="008C00EF" w:rsidP="00EA198E"/>
    <w:sectPr w:rsidR="008C00EF" w:rsidSect="00CD41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D5"/>
    <w:rsid w:val="0035165D"/>
    <w:rsid w:val="008C00EF"/>
    <w:rsid w:val="00A17F67"/>
    <w:rsid w:val="00A32C58"/>
    <w:rsid w:val="00A5427C"/>
    <w:rsid w:val="00C27940"/>
    <w:rsid w:val="00C713DA"/>
    <w:rsid w:val="00CD41AB"/>
    <w:rsid w:val="00CF6E17"/>
    <w:rsid w:val="00D67988"/>
    <w:rsid w:val="00E6506D"/>
    <w:rsid w:val="00EA198E"/>
    <w:rsid w:val="00F84CD5"/>
    <w:rsid w:val="00F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975CD-996D-429F-99E8-75C4FDBE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40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27940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27940"/>
    <w:pPr>
      <w:keepNext/>
      <w:spacing w:after="0" w:line="240" w:lineRule="auto"/>
      <w:ind w:right="-1192"/>
      <w:outlineLvl w:val="1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7940"/>
    <w:rPr>
      <w:rFonts w:ascii="Times New Roman" w:hAnsi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C27940"/>
    <w:rPr>
      <w:rFonts w:ascii="Times New Roman" w:hAnsi="Times New Roman"/>
      <w:sz w:val="20"/>
      <w:szCs w:val="20"/>
      <w:lang w:val="uk-UA" w:eastAsia="ru-RU"/>
    </w:rPr>
  </w:style>
  <w:style w:type="character" w:styleId="a3">
    <w:name w:val="Hyperlink"/>
    <w:uiPriority w:val="99"/>
    <w:unhideWhenUsed/>
    <w:rsid w:val="00CD4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r.nau.edu.ua/handle/NAU/36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jYxMDY0NjY4NzBa" TargetMode="External"/><Relationship Id="rId5" Type="http://schemas.openxmlformats.org/officeDocument/2006/relationships/hyperlink" Target="https://er.nau.edu.ua/handle/NAU/3601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3375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2021-10-08T06:17:00Z</dcterms:created>
  <dcterms:modified xsi:type="dcterms:W3CDTF">2021-10-08T06:17:00Z</dcterms:modified>
</cp:coreProperties>
</file>